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bookmarkStart w:id="0" w:name="_GoBack"/>
      <w:bookmarkEnd w:id="0"/>
      <w:r w:rsidRPr="005F705D">
        <w:rPr>
          <w:b/>
          <w:sz w:val="24"/>
          <w:szCs w:val="24"/>
        </w:rPr>
        <w:t xml:space="preserve">3GPP TSG-RAN WG2 Meeting #105 </w:t>
      </w:r>
      <w:r w:rsidRPr="005F705D">
        <w:rPr>
          <w:b/>
          <w:sz w:val="24"/>
          <w:szCs w:val="24"/>
        </w:rPr>
        <w:tab/>
        <w:t xml:space="preserve">     </w:t>
      </w:r>
      <w:r w:rsidRPr="005F705D">
        <w:rPr>
          <w:b/>
          <w:sz w:val="24"/>
          <w:szCs w:val="24"/>
        </w:rPr>
        <w:tab/>
      </w:r>
      <w:r w:rsidRPr="005F705D">
        <w:rPr>
          <w:b/>
          <w:sz w:val="24"/>
          <w:szCs w:val="24"/>
        </w:rPr>
        <w:tab/>
      </w:r>
      <w:r>
        <w:rPr>
          <w:b/>
          <w:sz w:val="24"/>
          <w:szCs w:val="24"/>
        </w:rPr>
        <w:t xml:space="preserve">                                            </w:t>
      </w:r>
      <w:r w:rsidRPr="005F705D">
        <w:rPr>
          <w:b/>
          <w:sz w:val="24"/>
          <w:szCs w:val="24"/>
        </w:rPr>
        <w:t>R2-19</w:t>
      </w:r>
      <w:r>
        <w:rPr>
          <w:b/>
          <w:sz w:val="24"/>
          <w:szCs w:val="24"/>
        </w:rPr>
        <w:t>00943</w:t>
      </w:r>
    </w:p>
    <w:p w:rsidR="000F259D" w:rsidRDefault="005F705D" w:rsidP="005F705D">
      <w:pPr>
        <w:tabs>
          <w:tab w:val="left" w:pos="567"/>
        </w:tabs>
        <w:rPr>
          <w:b/>
          <w:sz w:val="24"/>
          <w:szCs w:val="24"/>
        </w:rPr>
      </w:pPr>
      <w:r w:rsidRPr="005F705D">
        <w:rPr>
          <w:b/>
          <w:sz w:val="24"/>
          <w:szCs w:val="24"/>
        </w:rPr>
        <w:t>Athens, Greece, 25th February - 1st March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E06B55">
        <w:rPr>
          <w:b/>
          <w:sz w:val="24"/>
          <w:szCs w:val="24"/>
        </w:rPr>
        <w:t>11.1.2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5F705D" w:rsidRPr="005F705D">
        <w:rPr>
          <w:b/>
          <w:sz w:val="24"/>
          <w:szCs w:val="24"/>
        </w:rPr>
        <w:t>R</w:t>
      </w:r>
      <w:r w:rsidR="007E52F3" w:rsidRPr="005F705D">
        <w:rPr>
          <w:b/>
          <w:sz w:val="24"/>
          <w:szCs w:val="24"/>
        </w:rPr>
        <w:t xml:space="preserve">adio-aware scheduling </w:t>
      </w:r>
      <w:r w:rsidR="005F705D" w:rsidRPr="005F705D">
        <w:rPr>
          <w:b/>
          <w:sz w:val="24"/>
          <w:szCs w:val="24"/>
        </w:rPr>
        <w:t>in</w:t>
      </w:r>
      <w:r w:rsidR="007E52F3" w:rsidRPr="005F705D">
        <w:rPr>
          <w:b/>
          <w:sz w:val="24"/>
          <w:szCs w:val="24"/>
        </w:rPr>
        <w:t xml:space="preserve">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3" w:name="_Hlk530593150"/>
      <w:r>
        <w:rPr>
          <w:rFonts w:eastAsia="Times New Roman" w:cs="Times New Roman"/>
          <w:lang w:eastAsia="en-US"/>
        </w:rPr>
        <w:t>Specification of signalling for L2 transport and resource management</w:t>
      </w:r>
      <w:bookmarkEnd w:id="3"/>
      <w:r>
        <w:rPr>
          <w:rFonts w:eastAsia="Times New Roman" w:cs="Times New Roman"/>
          <w:lang w:eastAsia="en-US"/>
        </w:rPr>
        <w:t xml:space="preserve"> [RAN2-led, RAN3, RAN1]:</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4" w:name="_Hlk530558816"/>
      <w:bookmarkStart w:id="5"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4"/>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5"/>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6" w:name="_Hlk531256143"/>
      <w:r>
        <w:rPr>
          <w:rFonts w:eastAsia="Times New Roman" w:cs="Times New Roman"/>
          <w:lang w:eastAsia="en-US"/>
        </w:rPr>
        <w:t>downstream BH RLF notification</w:t>
      </w:r>
      <w:bookmarkEnd w:id="6"/>
      <w:r w:rsidRPr="00867CBD">
        <w:rPr>
          <w:rFonts w:eastAsia="Times New Roman" w:cs="Times New Roman"/>
          <w:lang w:eastAsia="en-US"/>
        </w:rPr>
        <w:t>).</w:t>
      </w:r>
    </w:p>
    <w:p w:rsidR="00C408C7" w:rsidRDefault="00C408C7" w:rsidP="004A7002">
      <w:pPr>
        <w:rPr>
          <w:rFonts w:ascii="Calibri" w:eastAsia="Malgun Gothic" w:hAnsi="Calibri" w:cs="Batang"/>
          <w:lang w:val="en-GB" w:eastAsia="ko-KR"/>
        </w:rPr>
      </w:pP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4131D6" w:rsidRPr="004131D6">
        <w:rPr>
          <w:rFonts w:ascii="Calibri" w:eastAsia="Malgun Gothic" w:hAnsi="Calibri" w:cs="Batang"/>
          <w:lang w:val="en-GB" w:eastAsia="ko-KR"/>
        </w:rPr>
        <w:t xml:space="preserve">radio-aware scheduling </w:t>
      </w:r>
      <w:r w:rsidRPr="004131D6">
        <w:rPr>
          <w:rFonts w:ascii="Calibri" w:eastAsia="Malgun Gothic" w:hAnsi="Calibri" w:cs="Batang"/>
          <w:lang w:val="en-GB" w:eastAsia="ko-KR"/>
        </w:rPr>
        <w:t xml:space="preserve">mechanisms </w:t>
      </w:r>
      <w:r w:rsidR="004131D6" w:rsidRPr="004131D6">
        <w:rPr>
          <w:rFonts w:ascii="Calibri" w:eastAsia="Malgun Gothic" w:hAnsi="Calibri" w:cs="Batang"/>
          <w:lang w:val="en-GB" w:eastAsia="ko-KR"/>
        </w:rPr>
        <w:t>should be supported for IAB</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Pr="004131D6">
        <w:rPr>
          <w:rFonts w:ascii="Calibri" w:eastAsia="Malgun Gothic" w:hAnsi="Calibri" w:cs="Batang"/>
          <w:lang w:val="en-GB" w:eastAsia="ko-KR"/>
        </w:rPr>
        <w:t>.</w:t>
      </w:r>
    </w:p>
    <w:p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rsidR="004A7002" w:rsidRDefault="00BD2886" w:rsidP="004A7002">
      <w:r w:rsidRPr="004131D6">
        <w:rPr>
          <w:rFonts w:ascii="Calibri" w:hAnsi="Calibri"/>
          <w:b/>
        </w:rPr>
        <w:t>Observation 1: Successful propagation of UE UP data relies on multiple scheduler decisions.</w:t>
      </w:r>
    </w:p>
    <w:p w:rsidR="004A7002" w:rsidRDefault="00727595" w:rsidP="004A7002">
      <w:pPr>
        <w:keepNext/>
        <w:jc w:val="center"/>
      </w:pPr>
      <w:r>
        <w:object w:dxaOrig="8256" w:dyaOrig="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314.5pt" o:ole="">
            <v:imagedata r:id="rId8" o:title=""/>
          </v:shape>
          <o:OLEObject Type="Embed" ProgID="Visio.Drawing.11" ShapeID="_x0000_i1025" DrawAspect="Content" ObjectID="_1611663129" r:id="rId9"/>
        </w:object>
      </w:r>
    </w:p>
    <w:p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rsidR="005F705D" w:rsidRDefault="005F705D" w:rsidP="004131D6">
      <w:pPr>
        <w:pStyle w:val="maintext"/>
        <w:ind w:firstLineChars="0" w:firstLine="0"/>
        <w:rPr>
          <w:rFonts w:ascii="Calibri" w:hAnsi="Calibri"/>
        </w:rPr>
      </w:pPr>
    </w:p>
    <w:p w:rsidR="005F705D" w:rsidRDefault="005F705D" w:rsidP="005F705D">
      <w:pPr>
        <w:pStyle w:val="maintext"/>
        <w:ind w:firstLineChars="0" w:firstLine="0"/>
        <w:jc w:val="center"/>
        <w:rPr>
          <w:rFonts w:ascii="Calibri" w:hAnsi="Calibri"/>
        </w:rPr>
      </w:pPr>
      <w:r w:rsidRPr="005F705D">
        <w:rPr>
          <w:rFonts w:ascii="Calibri" w:hAnsi="Calibri"/>
          <w:noProof/>
        </w:rPr>
        <w:lastRenderedPageBreak/>
        <w:drawing>
          <wp:inline distT="0" distB="0" distL="0" distR="0">
            <wp:extent cx="4524375" cy="33912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7968" cy="3408942"/>
                    </a:xfrm>
                    <a:prstGeom prst="rect">
                      <a:avLst/>
                    </a:prstGeom>
                    <a:noFill/>
                    <a:ln>
                      <a:noFill/>
                    </a:ln>
                  </pic:spPr>
                </pic:pic>
              </a:graphicData>
            </a:graphic>
          </wp:inline>
        </w:drawing>
      </w:r>
    </w:p>
    <w:p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Comparison of access user throughput with or without radio-aware scheduling weights at IAB nodes/donors</w:t>
      </w:r>
    </w:p>
    <w:p w:rsidR="00BD2886" w:rsidRPr="005F705D" w:rsidRDefault="00BD2886" w:rsidP="005F705D">
      <w:pPr>
        <w:pStyle w:val="maintext"/>
        <w:ind w:firstLineChars="0" w:firstLine="0"/>
        <w:jc w:val="center"/>
        <w:rPr>
          <w:rFonts w:ascii="Calibri" w:hAnsi="Calibri"/>
          <w:b/>
        </w:rPr>
      </w:pPr>
    </w:p>
    <w:p w:rsidR="00591190" w:rsidRDefault="005F705D" w:rsidP="004131D6">
      <w:pPr>
        <w:pStyle w:val="maintext"/>
        <w:ind w:firstLineChars="0" w:firstLine="0"/>
        <w:rPr>
          <w:rFonts w:ascii="Calibri" w:hAnsi="Calibri"/>
        </w:rPr>
      </w:pPr>
      <w:r>
        <w:rPr>
          <w:rFonts w:ascii="Calibri" w:hAnsi="Calibri"/>
        </w:rPr>
        <w:t xml:space="preserve">Figure 2 illustrates the benefit of providing information about the downstream topology and access/backhaul link radio conditions at the schedulers of higher-up IAB nodes or donor nodes. System simulations based on assumptions in the IAB TR [1]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number of descendent nodes (e.g. including grandchildren) and the ratio of the backhaul link(s) RSRP to the eventual target UE’s access link RSRP. </w:t>
      </w:r>
    </w:p>
    <w:p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rsidR="00FD09FC" w:rsidRDefault="00FD09FC" w:rsidP="00FD09FC">
      <w:pPr>
        <w:pStyle w:val="maintext"/>
        <w:ind w:firstLineChars="0" w:firstLine="0"/>
        <w:rPr>
          <w:rFonts w:ascii="Calibri" w:hAnsi="Calibri"/>
        </w:rPr>
      </w:pPr>
    </w:p>
    <w:p w:rsidR="00FD09FC" w:rsidRDefault="00FD09FC" w:rsidP="00FD09FC">
      <w:pPr>
        <w:pStyle w:val="maintext"/>
        <w:ind w:firstLineChars="0" w:firstLine="0"/>
        <w:rPr>
          <w:rFonts w:ascii="Calibri" w:hAnsi="Calibri"/>
        </w:rPr>
      </w:pPr>
      <w:r>
        <w:rPr>
          <w:rFonts w:ascii="Calibri" w:hAnsi="Calibri"/>
        </w:rPr>
        <w:t>Further:</w:t>
      </w:r>
    </w:p>
    <w:p w:rsidR="00FD09FC" w:rsidRDefault="00FD09FC" w:rsidP="00FD09FC">
      <w:pPr>
        <w:pStyle w:val="maintext"/>
        <w:ind w:firstLineChars="0" w:firstLine="720"/>
        <w:rPr>
          <w:rFonts w:ascii="Calibri" w:hAnsi="Calibri"/>
          <w:i/>
        </w:rPr>
      </w:pPr>
      <w:r w:rsidRPr="00FD09FC">
        <w:rPr>
          <w:rFonts w:ascii="Calibri" w:hAnsi="Calibri"/>
          <w:i/>
        </w:rPr>
        <w:t>IAB_bonus</w:t>
      </w:r>
      <w:r>
        <w:rPr>
          <w:rFonts w:ascii="Calibri" w:hAnsi="Calibri"/>
          <w:i/>
        </w:rPr>
        <w:t xml:space="preserve"> </w:t>
      </w:r>
      <w:r>
        <w:rPr>
          <w:rFonts w:ascii="Calibri" w:hAnsi="Calibri"/>
        </w:rPr>
        <w:t xml:space="preserve"> = </w:t>
      </w:r>
      <w:r>
        <w:rPr>
          <w:rFonts w:ascii="Calibri" w:hAnsi="Calibri"/>
          <w:i/>
        </w:rPr>
        <w:t>N_k * (RSRP_k,backhaul/RSRP_k,access)</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0"/>
        <w:rPr>
          <w:rFonts w:ascii="Calibri" w:hAnsi="Calibri"/>
        </w:rPr>
      </w:pPr>
      <w:r>
        <w:rPr>
          <w:rFonts w:ascii="Calibri" w:hAnsi="Calibri"/>
        </w:rPr>
        <w:tab/>
      </w:r>
      <w:r>
        <w:rPr>
          <w:rFonts w:ascii="Calibri" w:hAnsi="Calibri"/>
          <w:i/>
        </w:rPr>
        <w:t>N_k</w:t>
      </w:r>
      <w:r>
        <w:rPr>
          <w:rFonts w:ascii="Calibri" w:hAnsi="Calibri"/>
        </w:rPr>
        <w:t xml:space="preserve"> = The total number of descendent nodes associated with IAB node k (e.g. children/grandchildren)</w:t>
      </w:r>
    </w:p>
    <w:p w:rsidR="00FD09FC" w:rsidRDefault="00FD09FC" w:rsidP="00FD09FC">
      <w:pPr>
        <w:pStyle w:val="maintext"/>
        <w:ind w:firstLineChars="0" w:firstLine="0"/>
        <w:rPr>
          <w:rFonts w:ascii="Calibri" w:hAnsi="Calibri"/>
        </w:rPr>
      </w:pPr>
      <w:r>
        <w:rPr>
          <w:rFonts w:ascii="Calibri" w:hAnsi="Calibri"/>
        </w:rPr>
        <w:tab/>
      </w:r>
      <w:r>
        <w:rPr>
          <w:rFonts w:ascii="Calibri" w:hAnsi="Calibri"/>
          <w:i/>
        </w:rPr>
        <w:t xml:space="preserve">RSRP_k,backhaul </w:t>
      </w:r>
      <w:r w:rsidRPr="00800F70">
        <w:rPr>
          <w:rFonts w:ascii="Calibri" w:hAnsi="Calibri"/>
        </w:rPr>
        <w:t>=</w:t>
      </w:r>
      <w:r>
        <w:rPr>
          <w:rFonts w:ascii="Calibri" w:hAnsi="Calibri"/>
          <w:i/>
        </w:rPr>
        <w:t xml:space="preserve"> </w:t>
      </w:r>
      <w:r>
        <w:rPr>
          <w:rFonts w:ascii="Calibri" w:hAnsi="Calibri"/>
        </w:rPr>
        <w:t xml:space="preserve">The RSRP of the backhaul link associated with the route selected </w:t>
      </w:r>
      <w:r w:rsidR="00800F70">
        <w:rPr>
          <w:rFonts w:ascii="Calibri" w:hAnsi="Calibri"/>
        </w:rPr>
        <w:t>by IAB node k</w:t>
      </w:r>
    </w:p>
    <w:p w:rsidR="00800F70" w:rsidRPr="00FD09FC" w:rsidRDefault="00800F70" w:rsidP="00FD09FC">
      <w:pPr>
        <w:pStyle w:val="maintext"/>
        <w:ind w:firstLineChars="0" w:firstLine="0"/>
        <w:rPr>
          <w:rFonts w:ascii="Calibri" w:hAnsi="Calibri"/>
        </w:rPr>
      </w:pPr>
      <w:r>
        <w:rPr>
          <w:rFonts w:ascii="Calibri" w:hAnsi="Calibri"/>
        </w:rPr>
        <w:tab/>
      </w:r>
      <w:r>
        <w:rPr>
          <w:rFonts w:ascii="Calibri" w:hAnsi="Calibri"/>
          <w:i/>
        </w:rPr>
        <w:t xml:space="preserve">RSRP_k,access </w:t>
      </w:r>
      <w:r w:rsidRPr="00800F70">
        <w:rPr>
          <w:rFonts w:ascii="Calibri" w:hAnsi="Calibri"/>
        </w:rPr>
        <w:t>=</w:t>
      </w:r>
      <w:r>
        <w:rPr>
          <w:rFonts w:ascii="Calibri" w:hAnsi="Calibri"/>
          <w:i/>
        </w:rPr>
        <w:t xml:space="preserve"> </w:t>
      </w:r>
      <w:r>
        <w:rPr>
          <w:rFonts w:ascii="Calibri" w:hAnsi="Calibri"/>
        </w:rPr>
        <w:t>The RSRP of the access link associated with the access UE on the final hop of the route</w:t>
      </w:r>
      <w:r>
        <w:rPr>
          <w:rFonts w:ascii="Calibri" w:hAnsi="Calibri"/>
          <w:i/>
        </w:rPr>
        <w:t xml:space="preserve"> </w:t>
      </w:r>
    </w:p>
    <w:p w:rsidR="00FD09FC" w:rsidRPr="00FD09FC" w:rsidRDefault="00FD09FC" w:rsidP="00FD09FC">
      <w:pPr>
        <w:pStyle w:val="maintext"/>
        <w:ind w:firstLineChars="0" w:firstLine="0"/>
        <w:rPr>
          <w:rFonts w:ascii="Calibri" w:hAnsi="Calibri"/>
        </w:rPr>
      </w:pPr>
    </w:p>
    <w:p w:rsidR="005F705D" w:rsidRDefault="00BD2886" w:rsidP="004131D6">
      <w:pPr>
        <w:pStyle w:val="maintext"/>
        <w:ind w:firstLineChars="0" w:firstLine="0"/>
        <w:rPr>
          <w:rFonts w:ascii="Calibri" w:hAnsi="Calibri"/>
        </w:rPr>
      </w:pPr>
      <w:r>
        <w:rPr>
          <w:rFonts w:ascii="Calibri" w:hAnsi="Calibri"/>
        </w:rPr>
        <w:lastRenderedPageBreak/>
        <w:t>The results in Figure 2 show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 or large variances between the access and backhaul link quality which cannot be directly derived by the intermediate IAB node’s or donor node’s feedback from its serving links, but is instead provided by tunnelling the feedback or just the values of the weights to be applied in the PF scheduling via the adaptation layer.</w:t>
      </w:r>
    </w:p>
    <w:p w:rsidR="005F705D" w:rsidRPr="004131D6" w:rsidRDefault="005F705D" w:rsidP="004131D6">
      <w:pPr>
        <w:pStyle w:val="maintext"/>
        <w:ind w:firstLineChars="0" w:firstLine="0"/>
        <w:rPr>
          <w:rFonts w:ascii="Calibri" w:hAnsi="Calibri"/>
        </w:rPr>
      </w:pPr>
    </w:p>
    <w:p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The adaptation layer should support a benefit metric to communicate weighting of bearers</w:t>
      </w:r>
      <w:r w:rsidR="00BB02D4">
        <w:rPr>
          <w:rFonts w:ascii="Calibri" w:eastAsia="Malgun Gothic" w:hAnsi="Calibri" w:cs="Batang"/>
          <w:b/>
          <w:lang w:val="en-GB" w:eastAsia="ko-KR"/>
        </w:rPr>
        <w:t>/RLC channels</w:t>
      </w:r>
      <w:r w:rsidR="004A7002" w:rsidRPr="004131D6">
        <w:rPr>
          <w:rFonts w:ascii="Calibri" w:eastAsia="Malgun Gothic" w:hAnsi="Calibri" w:cs="Batang"/>
          <w:b/>
          <w:lang w:val="en-GB" w:eastAsia="ko-KR"/>
        </w:rPr>
        <w:t xml:space="preserve"> between schedulers of different IAB-nodes</w:t>
      </w:r>
      <w:r w:rsidR="00BB02D4">
        <w:rPr>
          <w:rFonts w:ascii="Calibri" w:eastAsia="Malgun Gothic" w:hAnsi="Calibri" w:cs="Batang"/>
          <w:b/>
          <w:lang w:val="en-GB" w:eastAsia="ko-KR"/>
        </w:rPr>
        <w:t xml:space="preserve"> which can also take </w:t>
      </w:r>
      <w:r w:rsidR="00591190">
        <w:rPr>
          <w:rFonts w:ascii="Calibri" w:eastAsia="Malgun Gothic" w:hAnsi="Calibri" w:cs="Batang"/>
          <w:b/>
          <w:lang w:val="en-GB" w:eastAsia="ko-KR"/>
        </w:rPr>
        <w:t xml:space="preserve">L1/L3 </w:t>
      </w:r>
      <w:r w:rsidR="00BB02D4">
        <w:rPr>
          <w:rFonts w:ascii="Calibri" w:eastAsia="Malgun Gothic" w:hAnsi="Calibri" w:cs="Batang"/>
          <w:b/>
          <w:lang w:val="en-GB" w:eastAsia="ko-KR"/>
        </w:rPr>
        <w:t xml:space="preserve">link quality </w:t>
      </w:r>
      <w:r w:rsidR="00591190">
        <w:rPr>
          <w:rFonts w:ascii="Calibri" w:eastAsia="Malgun Gothic" w:hAnsi="Calibri" w:cs="Batang"/>
          <w:b/>
          <w:lang w:val="en-GB" w:eastAsia="ko-KR"/>
        </w:rPr>
        <w:t>measurements and the topology associated with</w:t>
      </w:r>
      <w:r w:rsidR="00BB02D4">
        <w:rPr>
          <w:rFonts w:ascii="Calibri" w:eastAsia="Malgun Gothic" w:hAnsi="Calibri" w:cs="Batang"/>
          <w:b/>
          <w:lang w:val="en-GB" w:eastAsia="ko-KR"/>
        </w:rPr>
        <w:t xml:space="preserve"> different routes into account</w:t>
      </w:r>
      <w:r w:rsidR="004A7002" w:rsidRPr="004131D6">
        <w:rPr>
          <w:rFonts w:ascii="Calibri" w:eastAsia="Malgun Gothic" w:hAnsi="Calibri" w:cs="Batang"/>
          <w:b/>
          <w:lang w:val="en-GB" w:eastAsia="ko-KR"/>
        </w:rPr>
        <w:t>.</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A7002" w:rsidP="004A7002">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 </w:t>
      </w:r>
      <w:r w:rsidR="00BB02D4">
        <w:rPr>
          <w:rFonts w:ascii="Calibri" w:hAnsi="Calibri"/>
        </w:rPr>
        <w:t>The following proposal w</w:t>
      </w:r>
      <w:r w:rsidR="00BD2886">
        <w:rPr>
          <w:rFonts w:ascii="Calibri" w:hAnsi="Calibri"/>
        </w:rPr>
        <w:t>as</w:t>
      </w:r>
      <w:r w:rsidR="00BB02D4">
        <w:rPr>
          <w:rFonts w:ascii="Calibri" w:hAnsi="Calibri"/>
        </w:rPr>
        <w:t xml:space="preserve"> made:</w:t>
      </w:r>
      <w:r>
        <w:rPr>
          <w:rFonts w:ascii="Calibri" w:hAnsi="Calibri"/>
        </w:rPr>
        <w:t xml:space="preserve"> </w:t>
      </w:r>
    </w:p>
    <w:p w:rsidR="00C408C7" w:rsidRDefault="00C408C7" w:rsidP="00C408C7">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The adaptation layer should support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L1/L3 link quality measurements and the topology associated with different routes into account</w:t>
      </w:r>
      <w:r w:rsidRPr="004131D6">
        <w:rPr>
          <w:rFonts w:ascii="Calibri" w:eastAsia="Malgun Gothic" w:hAnsi="Calibri" w:cs="Batang"/>
          <w:b/>
          <w:lang w:val="en-GB" w:eastAsia="ko-KR"/>
        </w:rPr>
        <w:t>.</w:t>
      </w:r>
    </w:p>
    <w:p w:rsidR="00C408C7" w:rsidRPr="004131D6" w:rsidRDefault="00C408C7"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rsidR="00FE6C15" w:rsidRPr="00BD2886" w:rsidRDefault="00BB6E66" w:rsidP="00BD2886">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sectPr w:rsidR="00FE6C15"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88F" w:rsidRDefault="00EB588F" w:rsidP="00424124">
      <w:pPr>
        <w:spacing w:before="0" w:after="0"/>
      </w:pPr>
      <w:r>
        <w:separator/>
      </w:r>
    </w:p>
  </w:endnote>
  <w:endnote w:type="continuationSeparator" w:id="0">
    <w:p w:rsidR="00EB588F" w:rsidRDefault="00EB588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88F" w:rsidRDefault="00EB588F" w:rsidP="00424124">
      <w:pPr>
        <w:spacing w:before="0" w:after="0"/>
      </w:pPr>
      <w:r>
        <w:separator/>
      </w:r>
    </w:p>
  </w:footnote>
  <w:footnote w:type="continuationSeparator" w:id="0">
    <w:p w:rsidR="00EB588F" w:rsidRDefault="00EB588F"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7E15"/>
    <w:rsid w:val="001417A8"/>
    <w:rsid w:val="00153793"/>
    <w:rsid w:val="00164A98"/>
    <w:rsid w:val="00172743"/>
    <w:rsid w:val="00175301"/>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31D6"/>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93FEB"/>
    <w:rsid w:val="00DB0323"/>
    <w:rsid w:val="00DB1FA7"/>
    <w:rsid w:val="00DB3BFC"/>
    <w:rsid w:val="00DC0E31"/>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545F2"/>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1311C"/>
    <w:rsid w:val="00F154D0"/>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E8F79-C01E-4115-AEDC-18F87D7C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7617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cp:revision>
  <cp:lastPrinted>2018-09-28T20:14:00Z</cp:lastPrinted>
  <dcterms:created xsi:type="dcterms:W3CDTF">2019-02-14T21:25:00Z</dcterms:created>
  <dcterms:modified xsi:type="dcterms:W3CDTF">2019-02-14T21:25:00Z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